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F2566">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蒙草生态环境（集团）股份有限公司</w:t>
      </w:r>
    </w:p>
    <w:p w14:paraId="07B4DEC7">
      <w:pPr>
        <w:pStyle w:val="2"/>
        <w:spacing w:line="360" w:lineRule="auto"/>
        <w:jc w:val="center"/>
        <w:rPr>
          <w:rFonts w:hint="default" w:asciiTheme="minorEastAsia" w:hAnsiTheme="minorEastAsia" w:eastAsiaTheme="minorEastAsia"/>
          <w:b/>
          <w:kern w:val="2"/>
          <w:sz w:val="36"/>
          <w:szCs w:val="28"/>
          <w:lang w:val="en-US" w:eastAsia="zh-CN"/>
        </w:rPr>
      </w:pPr>
      <w:bookmarkStart w:id="0" w:name="OLE_LINK5"/>
      <w:bookmarkStart w:id="1" w:name="OLE_LINK4"/>
      <w:bookmarkStart w:id="2" w:name="OLE_LINK2"/>
      <w:bookmarkStart w:id="3" w:name="OLE_LINK3"/>
      <w:r>
        <w:rPr>
          <w:rFonts w:hint="eastAsia" w:asciiTheme="minorEastAsia" w:hAnsiTheme="minorEastAsia" w:eastAsiaTheme="minorEastAsia"/>
          <w:b/>
          <w:kern w:val="2"/>
          <w:sz w:val="36"/>
          <w:szCs w:val="28"/>
        </w:rPr>
        <w:t>AI切根机</w:t>
      </w:r>
      <w:bookmarkEnd w:id="0"/>
      <w:bookmarkEnd w:id="1"/>
      <w:bookmarkStart w:id="4" w:name="OLE_LINK6"/>
      <w:r>
        <w:rPr>
          <w:rFonts w:hint="eastAsia" w:asciiTheme="minorEastAsia" w:hAnsiTheme="minorEastAsia" w:eastAsiaTheme="minorEastAsia"/>
          <w:b/>
          <w:kern w:val="2"/>
          <w:sz w:val="36"/>
          <w:szCs w:val="28"/>
        </w:rPr>
        <w:t>采购</w:t>
      </w:r>
      <w:bookmarkEnd w:id="2"/>
      <w:bookmarkEnd w:id="3"/>
      <w:bookmarkEnd w:id="4"/>
      <w:r>
        <w:rPr>
          <w:rFonts w:hint="eastAsia" w:asciiTheme="minorEastAsia" w:hAnsiTheme="minorEastAsia" w:eastAsiaTheme="minorEastAsia"/>
          <w:b/>
          <w:kern w:val="2"/>
          <w:sz w:val="36"/>
          <w:szCs w:val="28"/>
        </w:rPr>
        <w:t>招标公告</w:t>
      </w:r>
      <w:r>
        <w:rPr>
          <w:rFonts w:hint="eastAsia" w:asciiTheme="minorEastAsia" w:hAnsiTheme="minorEastAsia" w:eastAsiaTheme="minorEastAsia"/>
          <w:b/>
          <w:kern w:val="2"/>
          <w:sz w:val="36"/>
          <w:szCs w:val="28"/>
          <w:lang w:val="en-US" w:eastAsia="zh-CN"/>
        </w:rPr>
        <w:t>(二次)</w:t>
      </w:r>
    </w:p>
    <w:p w14:paraId="0120C53E">
      <w:pPr>
        <w:pStyle w:val="2"/>
        <w:spacing w:line="360" w:lineRule="auto"/>
        <w:jc w:val="center"/>
        <w:rPr>
          <w:rFonts w:asciiTheme="minorEastAsia" w:hAnsiTheme="minorEastAsia" w:eastAsiaTheme="minorEastAsia"/>
          <w:b/>
          <w:kern w:val="2"/>
          <w:sz w:val="36"/>
          <w:szCs w:val="28"/>
        </w:rPr>
      </w:pPr>
    </w:p>
    <w:p w14:paraId="7E0A145D">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一、招标条件</w:t>
      </w:r>
    </w:p>
    <w:p w14:paraId="7FE48768">
      <w:pPr>
        <w:pStyle w:val="2"/>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蒙草生态环境（集团）股份有限公司针对AI切根机采购项目</w:t>
      </w:r>
      <w:r>
        <w:rPr>
          <w:rFonts w:hint="eastAsia" w:asciiTheme="minorEastAsia" w:hAnsiTheme="minorEastAsia" w:eastAsiaTheme="minorEastAsia"/>
          <w:sz w:val="28"/>
          <w:szCs w:val="28"/>
          <w:lang w:val="en-US" w:eastAsia="zh-CN"/>
        </w:rPr>
        <w:t>(二次)</w:t>
      </w:r>
      <w:r>
        <w:rPr>
          <w:rFonts w:hint="eastAsia" w:asciiTheme="minorEastAsia" w:hAnsiTheme="minorEastAsia" w:eastAsiaTheme="minorEastAsia"/>
          <w:sz w:val="28"/>
          <w:szCs w:val="28"/>
        </w:rPr>
        <w:t>进行公开招标。</w:t>
      </w:r>
    </w:p>
    <w:p w14:paraId="0C059FB1">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二、项目概况</w:t>
      </w:r>
    </w:p>
    <w:p w14:paraId="6E40504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（一）项目名称：AI切根机采购</w:t>
      </w:r>
      <w:r>
        <w:rPr>
          <w:rFonts w:hint="eastAsia" w:asciiTheme="minorEastAsia" w:hAnsiTheme="minorEastAsia" w:eastAsiaTheme="minorEastAsia"/>
          <w:sz w:val="28"/>
          <w:szCs w:val="28"/>
          <w:lang w:val="en-US" w:eastAsia="zh-CN"/>
        </w:rPr>
        <w:t>(二次)</w:t>
      </w:r>
    </w:p>
    <w:p w14:paraId="02005D38">
      <w:pPr>
        <w:pStyle w:val="2"/>
        <w:spacing w:line="360" w:lineRule="auto"/>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（二）项目编号：MCSTHJ-2025-CG0</w:t>
      </w:r>
      <w:r>
        <w:rPr>
          <w:rFonts w:hint="eastAsia" w:asciiTheme="minorEastAsia" w:hAnsiTheme="minorEastAsia" w:eastAsiaTheme="minorEastAsia"/>
          <w:sz w:val="28"/>
          <w:szCs w:val="28"/>
          <w:lang w:val="en-US" w:eastAsia="zh-CN"/>
        </w:rPr>
        <w:t>3</w:t>
      </w:r>
    </w:p>
    <w:p w14:paraId="0EF5663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（三）采购方式：公开招标</w:t>
      </w:r>
    </w:p>
    <w:p w14:paraId="369E2B1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（四）资金来源：专项资金</w:t>
      </w:r>
    </w:p>
    <w:p w14:paraId="7FEB2F3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（五）资金落实情况：已落实</w:t>
      </w:r>
    </w:p>
    <w:p w14:paraId="1BD345B0">
      <w:pPr>
        <w:pStyle w:val="2"/>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三、项目简介</w:t>
      </w:r>
    </w:p>
    <w:p w14:paraId="10996919">
      <w:pPr>
        <w:pStyle w:val="2"/>
        <w:spacing w:line="360" w:lineRule="auto"/>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（一）项目用途</w:t>
      </w:r>
    </w:p>
    <w:p w14:paraId="3E0F5668">
      <w:pPr>
        <w:pStyle w:val="2"/>
        <w:spacing w:line="360" w:lineRule="auto"/>
        <w:ind w:firstLine="560" w:firstLineChars="200"/>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采购10台具备智能切根、精准施肥功能的AI切根施肥机，用于草原生态修复工程中禾本科植物根茎切断、土壤疏松及精准施肥作业。</w:t>
      </w:r>
    </w:p>
    <w:p w14:paraId="1DCF3E1F">
      <w:pPr>
        <w:pStyle w:val="2"/>
        <w:spacing w:line="360" w:lineRule="auto"/>
        <w:rPr>
          <w:rFonts w:cs="Arial" w:asciiTheme="minorEastAsia" w:hAnsiTheme="minorEastAsia" w:eastAsiaTheme="minorEastAsia"/>
          <w:sz w:val="28"/>
          <w:szCs w:val="28"/>
        </w:rPr>
      </w:pPr>
      <w:r>
        <w:rPr>
          <w:rFonts w:hint="eastAsia" w:cs="Arial" w:asciiTheme="minorEastAsia" w:hAnsiTheme="minorEastAsia" w:eastAsiaTheme="minorEastAsia"/>
          <w:sz w:val="28"/>
          <w:szCs w:val="28"/>
        </w:rPr>
        <w:t>（二）技术参数及配置要求</w:t>
      </w:r>
    </w:p>
    <w:p w14:paraId="6E87E4D1">
      <w:pPr>
        <w:pStyle w:val="2"/>
        <w:spacing w:line="360" w:lineRule="auto"/>
        <w:ind w:firstLine="560" w:firstLineChars="200"/>
        <w:rPr>
          <w:rFonts w:hint="eastAsia" w:cs="Arial" w:asciiTheme="minorEastAsia" w:hAnsiTheme="minorEastAsia" w:eastAsiaTheme="minorEastAsia"/>
          <w:sz w:val="28"/>
          <w:szCs w:val="28"/>
        </w:rPr>
      </w:pPr>
      <w:r>
        <w:rPr>
          <w:rFonts w:hint="eastAsia" w:cs="Arial" w:asciiTheme="minorEastAsia" w:hAnsiTheme="minorEastAsia" w:eastAsiaTheme="minorEastAsia"/>
          <w:sz w:val="28"/>
          <w:szCs w:val="28"/>
        </w:rPr>
        <w:t>1.智能控制系统</w:t>
      </w:r>
    </w:p>
    <w:p w14:paraId="42F1391A">
      <w:pPr>
        <w:pStyle w:val="2"/>
        <w:spacing w:line="360" w:lineRule="auto"/>
        <w:ind w:firstLine="560" w:firstLineChars="200"/>
        <w:rPr>
          <w:rFonts w:hint="eastAsia" w:cs="Arial" w:asciiTheme="minorEastAsia" w:hAnsiTheme="minorEastAsia" w:eastAsiaTheme="minorEastAsia"/>
          <w:sz w:val="28"/>
          <w:szCs w:val="28"/>
          <w:lang w:eastAsia="zh-CN"/>
        </w:rPr>
      </w:pPr>
      <w:r>
        <w:rPr>
          <w:rFonts w:hint="eastAsia" w:cs="Arial" w:asciiTheme="minorEastAsia" w:hAnsiTheme="minorEastAsia" w:eastAsiaTheme="minorEastAsia"/>
          <w:sz w:val="28"/>
          <w:szCs w:val="28"/>
        </w:rPr>
        <w:t>配备AI智能操作系统，支持远程控制及数据交互</w:t>
      </w:r>
      <w:r>
        <w:rPr>
          <w:rFonts w:hint="eastAsia" w:cs="Arial" w:asciiTheme="minorEastAsia" w:hAnsiTheme="minorEastAsia" w:eastAsiaTheme="minorEastAsia"/>
          <w:sz w:val="28"/>
          <w:szCs w:val="28"/>
          <w:lang w:val="en-US" w:eastAsia="zh-CN"/>
        </w:rPr>
        <w:t>；</w:t>
      </w:r>
      <w:r>
        <w:rPr>
          <w:rFonts w:hint="eastAsia" w:cs="Arial" w:asciiTheme="minorEastAsia" w:hAnsiTheme="minorEastAsia" w:eastAsiaTheme="minorEastAsia"/>
          <w:sz w:val="28"/>
          <w:szCs w:val="28"/>
        </w:rPr>
        <w:t>集成高精度定位模块(定位精度≤+2cm)，支持北斗/GNSS双模定位</w:t>
      </w:r>
      <w:r>
        <w:rPr>
          <w:rFonts w:hint="eastAsia" w:cs="Arial" w:asciiTheme="minorEastAsia" w:hAnsiTheme="minorEastAsia" w:eastAsiaTheme="minorEastAsia"/>
          <w:sz w:val="28"/>
          <w:szCs w:val="28"/>
          <w:lang w:eastAsia="zh-CN"/>
        </w:rPr>
        <w:t>；</w:t>
      </w:r>
      <w:r>
        <w:rPr>
          <w:rFonts w:hint="eastAsia" w:cs="Arial" w:asciiTheme="minorEastAsia" w:hAnsiTheme="minorEastAsia" w:eastAsiaTheme="minorEastAsia"/>
          <w:sz w:val="28"/>
          <w:szCs w:val="28"/>
        </w:rPr>
        <w:t>自动生成最优作业路径并规避障碍物</w:t>
      </w:r>
      <w:r>
        <w:rPr>
          <w:rFonts w:hint="eastAsia" w:cs="Arial" w:asciiTheme="minorEastAsia" w:hAnsiTheme="minorEastAsia" w:eastAsiaTheme="minorEastAsia"/>
          <w:sz w:val="28"/>
          <w:szCs w:val="28"/>
          <w:lang w:eastAsia="zh-CN"/>
        </w:rPr>
        <w:t>，</w:t>
      </w:r>
      <w:r>
        <w:rPr>
          <w:rFonts w:hint="eastAsia" w:cs="Arial" w:asciiTheme="minorEastAsia" w:hAnsiTheme="minorEastAsia" w:eastAsiaTheme="minorEastAsia"/>
          <w:sz w:val="28"/>
          <w:szCs w:val="28"/>
        </w:rPr>
        <w:t>可实现智能路径规划</w:t>
      </w:r>
      <w:r>
        <w:rPr>
          <w:rFonts w:hint="eastAsia" w:cs="Arial" w:asciiTheme="minorEastAsia" w:hAnsiTheme="minorEastAsia" w:eastAsiaTheme="minorEastAsia"/>
          <w:sz w:val="28"/>
          <w:szCs w:val="28"/>
          <w:lang w:eastAsia="zh-CN"/>
        </w:rPr>
        <w:t>。</w:t>
      </w:r>
    </w:p>
    <w:p w14:paraId="7A981041">
      <w:pPr>
        <w:pStyle w:val="2"/>
        <w:spacing w:line="360" w:lineRule="auto"/>
        <w:ind w:firstLine="560" w:firstLineChars="200"/>
        <w:rPr>
          <w:rFonts w:hint="eastAsia" w:cs="Arial" w:asciiTheme="minorEastAsia" w:hAnsiTheme="minorEastAsia" w:eastAsiaTheme="minorEastAsia"/>
          <w:sz w:val="28"/>
          <w:szCs w:val="28"/>
        </w:rPr>
      </w:pPr>
      <w:r>
        <w:rPr>
          <w:rFonts w:hint="eastAsia" w:cs="Arial" w:asciiTheme="minorEastAsia" w:hAnsiTheme="minorEastAsia" w:eastAsiaTheme="minorEastAsia"/>
          <w:sz w:val="28"/>
          <w:szCs w:val="28"/>
        </w:rPr>
        <w:t>2.切根机构性能</w:t>
      </w:r>
    </w:p>
    <w:p w14:paraId="026CB1A4">
      <w:pPr>
        <w:pStyle w:val="2"/>
        <w:spacing w:line="360" w:lineRule="auto"/>
        <w:ind w:firstLine="560" w:firstLineChars="200"/>
        <w:rPr>
          <w:rFonts w:hint="eastAsia" w:cs="Arial" w:asciiTheme="minorEastAsia" w:hAnsiTheme="minorEastAsia" w:eastAsiaTheme="minorEastAsia"/>
          <w:sz w:val="28"/>
          <w:szCs w:val="28"/>
          <w:lang w:eastAsia="zh-CN"/>
        </w:rPr>
      </w:pPr>
      <w:r>
        <w:rPr>
          <w:rFonts w:hint="eastAsia" w:cs="Arial" w:asciiTheme="minorEastAsia" w:hAnsiTheme="minorEastAsia" w:eastAsiaTheme="minorEastAsia"/>
          <w:sz w:val="28"/>
          <w:szCs w:val="28"/>
        </w:rPr>
        <w:t>主动动力式切根机构，切根深度可调范围10-30cm，作业速度≥3千米/小时，单日连续作业时长&gt;8小时</w:t>
      </w:r>
      <w:r>
        <w:rPr>
          <w:rFonts w:hint="eastAsia" w:cs="Arial" w:asciiTheme="minorEastAsia" w:hAnsiTheme="minorEastAsia" w:eastAsiaTheme="minorEastAsia"/>
          <w:sz w:val="28"/>
          <w:szCs w:val="28"/>
          <w:lang w:eastAsia="zh-CN"/>
        </w:rPr>
        <w:t>。</w:t>
      </w:r>
    </w:p>
    <w:p w14:paraId="42AE8C9C">
      <w:pPr>
        <w:pStyle w:val="2"/>
        <w:spacing w:line="360" w:lineRule="auto"/>
        <w:ind w:firstLine="560" w:firstLineChars="200"/>
        <w:rPr>
          <w:rFonts w:hint="eastAsia" w:cs="Arial" w:asciiTheme="minorEastAsia" w:hAnsiTheme="minorEastAsia" w:eastAsiaTheme="minorEastAsia"/>
          <w:sz w:val="28"/>
          <w:szCs w:val="28"/>
        </w:rPr>
      </w:pPr>
      <w:r>
        <w:rPr>
          <w:rFonts w:hint="eastAsia" w:cs="Arial" w:asciiTheme="minorEastAsia" w:hAnsiTheme="minorEastAsia" w:eastAsiaTheme="minorEastAsia"/>
          <w:sz w:val="28"/>
          <w:szCs w:val="28"/>
        </w:rPr>
        <w:t>4.动力及行走系统</w:t>
      </w:r>
    </w:p>
    <w:p w14:paraId="70A96795">
      <w:pPr>
        <w:pStyle w:val="2"/>
        <w:spacing w:line="360" w:lineRule="auto"/>
        <w:ind w:firstLine="560" w:firstLineChars="200"/>
        <w:rPr>
          <w:rFonts w:hint="eastAsia" w:cs="Arial" w:asciiTheme="minorEastAsia" w:hAnsiTheme="minorEastAsia" w:eastAsiaTheme="minorEastAsia"/>
          <w:sz w:val="28"/>
          <w:szCs w:val="28"/>
        </w:rPr>
      </w:pPr>
      <w:r>
        <w:rPr>
          <w:rFonts w:hint="eastAsia" w:cs="Arial" w:asciiTheme="minorEastAsia" w:hAnsiTheme="minorEastAsia" w:eastAsiaTheme="minorEastAsia"/>
          <w:sz w:val="28"/>
          <w:szCs w:val="28"/>
        </w:rPr>
        <w:t>柴油增程混动驱动系统</w:t>
      </w:r>
      <w:r>
        <w:rPr>
          <w:rFonts w:hint="eastAsia" w:cs="Arial" w:asciiTheme="minorEastAsia" w:hAnsiTheme="minorEastAsia" w:eastAsiaTheme="minorEastAsia"/>
          <w:sz w:val="28"/>
          <w:szCs w:val="28"/>
          <w:lang w:eastAsia="zh-CN"/>
        </w:rPr>
        <w:t>；</w:t>
      </w:r>
      <w:r>
        <w:rPr>
          <w:rFonts w:hint="eastAsia" w:cs="Arial" w:asciiTheme="minorEastAsia" w:hAnsiTheme="minorEastAsia" w:eastAsiaTheme="minorEastAsia"/>
          <w:sz w:val="28"/>
          <w:szCs w:val="28"/>
        </w:rPr>
        <w:t>电力保障技术:电池续航&gt;6小时，履带行走机构，接地比压≤25kPa，适应坡地、湿地等复杂地形。</w:t>
      </w:r>
    </w:p>
    <w:p w14:paraId="4AFDBBA7">
      <w:pPr>
        <w:pStyle w:val="2"/>
        <w:spacing w:line="360" w:lineRule="auto"/>
        <w:ind w:firstLine="560" w:firstLineChars="200"/>
        <w:rPr>
          <w:rFonts w:hint="eastAsia" w:cs="Arial" w:asciiTheme="minorEastAsia" w:hAnsiTheme="minorEastAsia" w:eastAsiaTheme="minorEastAsia"/>
          <w:sz w:val="28"/>
          <w:szCs w:val="28"/>
        </w:rPr>
      </w:pPr>
      <w:r>
        <w:rPr>
          <w:rFonts w:hint="eastAsia" w:cs="Arial" w:asciiTheme="minorEastAsia" w:hAnsiTheme="minorEastAsia" w:eastAsiaTheme="minorEastAsia"/>
          <w:sz w:val="28"/>
          <w:szCs w:val="28"/>
        </w:rPr>
        <w:t>5.安全与数据管理​安全与数据管理</w:t>
      </w:r>
    </w:p>
    <w:p w14:paraId="78D79154">
      <w:pPr>
        <w:pStyle w:val="2"/>
        <w:spacing w:line="360" w:lineRule="auto"/>
        <w:ind w:firstLine="560" w:firstLineChars="200"/>
        <w:rPr>
          <w:rFonts w:hint="eastAsia" w:cs="Arial" w:asciiTheme="minorEastAsia" w:hAnsiTheme="minorEastAsia" w:eastAsiaTheme="minorEastAsia"/>
          <w:sz w:val="28"/>
          <w:szCs w:val="28"/>
          <w:lang w:eastAsia="zh-CN"/>
        </w:rPr>
      </w:pPr>
      <w:r>
        <w:rPr>
          <w:rFonts w:hint="eastAsia" w:cs="Arial" w:asciiTheme="minorEastAsia" w:hAnsiTheme="minorEastAsia" w:eastAsiaTheme="minorEastAsia"/>
          <w:sz w:val="28"/>
          <w:szCs w:val="28"/>
        </w:rPr>
        <w:t>配备紧急制动及故障自诊断功能</w:t>
      </w:r>
      <w:r>
        <w:rPr>
          <w:rFonts w:hint="eastAsia" w:cs="Arial" w:asciiTheme="minorEastAsia" w:hAnsiTheme="minorEastAsia" w:eastAsiaTheme="minorEastAsia"/>
          <w:sz w:val="28"/>
          <w:szCs w:val="28"/>
          <w:lang w:eastAsia="zh-CN"/>
        </w:rPr>
        <w:t>。</w:t>
      </w:r>
    </w:p>
    <w:p w14:paraId="2B02DF88">
      <w:pPr>
        <w:pStyle w:val="2"/>
        <w:spacing w:line="360" w:lineRule="auto"/>
        <w:rPr>
          <w:rFonts w:cs="Arial" w:asciiTheme="minorEastAsia" w:hAnsiTheme="minorEastAsia" w:eastAsiaTheme="minorEastAsia"/>
          <w:b/>
          <w:sz w:val="28"/>
          <w:szCs w:val="28"/>
        </w:rPr>
      </w:pPr>
      <w:r>
        <w:rPr>
          <w:rFonts w:hint="eastAsia" w:asciiTheme="minorEastAsia" w:hAnsiTheme="minorEastAsia" w:eastAsiaTheme="minorEastAsia"/>
          <w:b/>
          <w:sz w:val="28"/>
          <w:szCs w:val="28"/>
        </w:rPr>
        <w:t>四、</w:t>
      </w:r>
      <w:r>
        <w:rPr>
          <w:rFonts w:hint="eastAsia" w:cs="Arial" w:asciiTheme="minorEastAsia" w:hAnsiTheme="minorEastAsia" w:eastAsiaTheme="minorEastAsia"/>
          <w:b/>
          <w:sz w:val="28"/>
          <w:szCs w:val="28"/>
        </w:rPr>
        <w:t>对投标申请人的资格要求</w:t>
      </w:r>
    </w:p>
    <w:p w14:paraId="507A989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（一）投标人需具有独立承担民事责任的能力；</w:t>
      </w:r>
    </w:p>
    <w:p w14:paraId="2ACDED1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（二）具有良好的商业信誉和健全的财务会计制度；</w:t>
      </w:r>
    </w:p>
    <w:p w14:paraId="461A9EA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（三）有依法缴纳税收和社会保障资金的良好记录；</w:t>
      </w:r>
    </w:p>
    <w:p w14:paraId="70A6CA5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（四）标人需具有履行合同所必需的设施设备和专业技术能力；</w:t>
      </w:r>
    </w:p>
    <w:p w14:paraId="2BDCC81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（五）参加此次招标活动前，在经营活动中没有重大违法记录；</w:t>
      </w:r>
    </w:p>
    <w:p w14:paraId="4E5726E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（六）投标人未被“信用中国”网站列入失信被执行人名单、未被“国家企业信用信息公示系统”列入严重违法失信企业名单、未在“中国裁判文书网”有犯罪行贿行为；</w:t>
      </w:r>
    </w:p>
    <w:p w14:paraId="5D74711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（七）本标段不接受联合体投标。</w:t>
      </w:r>
      <w:bookmarkStart w:id="7" w:name="_GoBack"/>
      <w:bookmarkEnd w:id="7"/>
      <w:r>
        <w:rPr>
          <w:rFonts w:hint="eastAsia" w:cs="Arial" w:asciiTheme="minorEastAsia" w:hAnsiTheme="minorEastAsia" w:eastAsiaTheme="minorEastAsia"/>
          <w:sz w:val="28"/>
          <w:szCs w:val="28"/>
        </w:rPr>
        <w:br w:type="textWrapping"/>
      </w:r>
      <w:r>
        <w:rPr>
          <w:rFonts w:hint="eastAsia" w:asciiTheme="minorEastAsia" w:hAnsiTheme="minorEastAsia" w:eastAsiaTheme="minorEastAsia"/>
          <w:b/>
          <w:sz w:val="28"/>
          <w:szCs w:val="28"/>
        </w:rPr>
        <w:t>五、公告发布媒介</w:t>
      </w:r>
    </w:p>
    <w:p w14:paraId="53C0DED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（一）中国采购与招标网        网址：www.chinabidding.com.cn</w:t>
      </w:r>
    </w:p>
    <w:p w14:paraId="774C003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（二）蒙草公司外网            网址：www.mengcao.com </w:t>
      </w:r>
    </w:p>
    <w:p w14:paraId="4ADC6E3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六、报名须知及资格审查</w:t>
      </w:r>
    </w:p>
    <w:p w14:paraId="7CF5B2B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（一）报名时间：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日至</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25年5月2</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日，9：0</w:t>
      </w:r>
      <w:r>
        <w:rPr>
          <w:rFonts w:asciiTheme="minorEastAsia" w:hAnsiTheme="minorEastAsia" w:eastAsiaTheme="minorEastAsia"/>
          <w:sz w:val="28"/>
          <w:szCs w:val="28"/>
        </w:rPr>
        <w:t>0-12</w:t>
      </w:r>
      <w:r>
        <w:rPr>
          <w:rFonts w:hint="eastAsia" w:asciiTheme="minorEastAsia" w:hAnsiTheme="minorEastAsia" w:eastAsiaTheme="minorEastAsia"/>
          <w:sz w:val="28"/>
          <w:szCs w:val="28"/>
        </w:rPr>
        <w:t>：</w:t>
      </w:r>
      <w:r>
        <w:rPr>
          <w:rFonts w:asciiTheme="minorEastAsia" w:hAnsiTheme="minorEastAsia" w:eastAsiaTheme="minorEastAsia"/>
          <w:sz w:val="28"/>
          <w:szCs w:val="28"/>
        </w:rPr>
        <w:t>00</w:t>
      </w: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3：</w:t>
      </w:r>
      <w:r>
        <w:rPr>
          <w:rFonts w:asciiTheme="minorEastAsia" w:hAnsiTheme="minorEastAsia" w:eastAsiaTheme="minorEastAsia"/>
          <w:sz w:val="28"/>
          <w:szCs w:val="28"/>
        </w:rPr>
        <w:t>30-1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时（北京时间，下同），投标人报名并递交报名资料。报名截止时间为</w:t>
      </w:r>
      <w:r>
        <w:rPr>
          <w:rFonts w:asciiTheme="minorEastAsia" w:hAnsiTheme="minorEastAsia" w:eastAsiaTheme="minorEastAsia"/>
          <w:sz w:val="28"/>
          <w:szCs w:val="28"/>
        </w:rPr>
        <w:t>20</w:t>
      </w:r>
      <w:r>
        <w:rPr>
          <w:rFonts w:hint="eastAsia" w:asciiTheme="minorEastAsia" w:hAnsiTheme="minorEastAsia" w:eastAsiaTheme="minorEastAsia"/>
          <w:sz w:val="28"/>
          <w:szCs w:val="28"/>
        </w:rPr>
        <w:t>25年5月2</w:t>
      </w:r>
      <w:r>
        <w:rPr>
          <w:rFonts w:hint="eastAsia" w:asciiTheme="minorEastAsia" w:hAnsiTheme="minorEastAsia" w:eastAsiaTheme="minorEastAsia"/>
          <w:sz w:val="28"/>
          <w:szCs w:val="28"/>
          <w:lang w:val="en-US" w:eastAsia="zh-CN"/>
        </w:rPr>
        <w:t>6</w:t>
      </w:r>
      <w:r>
        <w:rPr>
          <w:rFonts w:hint="eastAsia" w:asciiTheme="minorEastAsia" w:hAnsiTheme="minorEastAsia" w:eastAsiaTheme="minorEastAsia"/>
          <w:sz w:val="28"/>
          <w:szCs w:val="28"/>
        </w:rPr>
        <w:t>日</w:t>
      </w:r>
      <w:r>
        <w:rPr>
          <w:rFonts w:asciiTheme="minorEastAsia" w:hAnsiTheme="minorEastAsia" w:eastAsiaTheme="minorEastAsia"/>
          <w:sz w:val="28"/>
          <w:szCs w:val="28"/>
        </w:rPr>
        <w:t>1</w:t>
      </w:r>
      <w:r>
        <w:rPr>
          <w:rFonts w:hint="eastAsia" w:asciiTheme="minorEastAsia" w:hAnsiTheme="minorEastAsia" w:eastAsiaTheme="minorEastAsia"/>
          <w:sz w:val="28"/>
          <w:szCs w:val="28"/>
        </w:rPr>
        <w:t>7：3</w:t>
      </w:r>
      <w:r>
        <w:rPr>
          <w:rFonts w:asciiTheme="minorEastAsia" w:hAnsiTheme="minorEastAsia" w:eastAsiaTheme="minorEastAsia"/>
          <w:sz w:val="28"/>
          <w:szCs w:val="28"/>
        </w:rPr>
        <w:t>0</w:t>
      </w:r>
      <w:r>
        <w:rPr>
          <w:rFonts w:hint="eastAsia" w:asciiTheme="minorEastAsia" w:hAnsiTheme="minorEastAsia" w:eastAsiaTheme="minorEastAsia"/>
          <w:sz w:val="28"/>
          <w:szCs w:val="28"/>
        </w:rPr>
        <w:t>，逾期不再受理，</w:t>
      </w:r>
    </w:p>
    <w:p w14:paraId="3A621FC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（二）报名方式：将报名资料以电子邮件的方式发送至招标人的电子邮箱内。</w:t>
      </w:r>
    </w:p>
    <w:p w14:paraId="3746C5C2">
      <w:pPr>
        <w:pStyle w:val="2"/>
        <w:spacing w:line="360" w:lineRule="auto"/>
        <w:rPr>
          <w:rFonts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说明：《报名表》及投标相关资质等资料（第七项）发至</w:t>
      </w:r>
      <w:r>
        <w:fldChar w:fldCharType="begin"/>
      </w:r>
      <w:r>
        <w:instrText xml:space="preserve"> HYPERLINK "mailto:mengcaocaigou@126.com" </w:instrText>
      </w:r>
      <w:r>
        <w:fldChar w:fldCharType="separate"/>
      </w:r>
      <w:r>
        <w:rPr>
          <w:rFonts w:hint="eastAsia" w:asciiTheme="minorEastAsia" w:hAnsiTheme="minorEastAsia" w:eastAsiaTheme="minorEastAsia"/>
          <w:color w:val="FF0000"/>
          <w:sz w:val="28"/>
          <w:szCs w:val="28"/>
        </w:rPr>
        <w:t>mengcaocaigou@126.com</w:t>
      </w:r>
      <w:r>
        <w:rPr>
          <w:rFonts w:hint="eastAsia" w:asciiTheme="minorEastAsia" w:hAnsiTheme="minorEastAsia" w:eastAsiaTheme="minorEastAsia"/>
          <w:color w:val="FF0000"/>
          <w:sz w:val="28"/>
          <w:szCs w:val="28"/>
        </w:rPr>
        <w:fldChar w:fldCharType="end"/>
      </w:r>
      <w:r>
        <w:rPr>
          <w:rFonts w:hint="eastAsia" w:asciiTheme="minorEastAsia" w:hAnsiTheme="minorEastAsia" w:eastAsiaTheme="minorEastAsia"/>
          <w:color w:val="FF0000"/>
          <w:sz w:val="28"/>
          <w:szCs w:val="28"/>
        </w:rPr>
        <w:t>邮箱。</w:t>
      </w:r>
    </w:p>
    <w:p w14:paraId="7C5B97E7">
      <w:pPr>
        <w:pStyle w:val="2"/>
        <w:spacing w:line="360" w:lineRule="auto"/>
        <w:rPr>
          <w:rFonts w:cs="Times New Roman" w:asciiTheme="minorEastAsia" w:hAnsiTheme="minorEastAsia" w:eastAsiaTheme="minorEastAsia"/>
          <w:b/>
          <w:sz w:val="28"/>
          <w:szCs w:val="28"/>
        </w:rPr>
      </w:pPr>
      <w:r>
        <w:rPr>
          <w:rFonts w:hint="eastAsia" w:asciiTheme="minorEastAsia" w:hAnsiTheme="minorEastAsia" w:eastAsiaTheme="minorEastAsia"/>
          <w:b/>
          <w:sz w:val="28"/>
          <w:szCs w:val="28"/>
        </w:rPr>
        <w:t>七、招标文件的获取</w:t>
      </w:r>
    </w:p>
    <w:p w14:paraId="4A472CCE">
      <w:pPr>
        <w:pStyle w:val="2"/>
        <w:spacing w:line="360" w:lineRule="auto"/>
        <w:rPr>
          <w:rFonts w:cs="Times New Roman" w:asciiTheme="minorEastAsia" w:hAnsiTheme="minorEastAsia" w:eastAsiaTheme="minorEastAsia"/>
          <w:sz w:val="28"/>
          <w:szCs w:val="28"/>
        </w:rPr>
      </w:pPr>
      <w:r>
        <w:rPr>
          <w:rFonts w:hint="eastAsia" w:asciiTheme="minorEastAsia" w:hAnsiTheme="minorEastAsia" w:eastAsiaTheme="minorEastAsia"/>
          <w:sz w:val="28"/>
          <w:szCs w:val="28"/>
        </w:rPr>
        <w:t>（一）获取时间：2025年</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月2</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日至2025年5月</w:t>
      </w:r>
      <w:r>
        <w:rPr>
          <w:rFonts w:hint="eastAsia" w:asciiTheme="minorEastAsia" w:hAnsiTheme="minorEastAsia" w:eastAsiaTheme="minorEastAsia"/>
          <w:sz w:val="28"/>
          <w:szCs w:val="28"/>
          <w:lang w:val="en-US" w:eastAsia="zh-CN"/>
        </w:rPr>
        <w:t>26</w:t>
      </w:r>
      <w:r>
        <w:rPr>
          <w:rFonts w:hint="eastAsia" w:asciiTheme="minorEastAsia" w:hAnsiTheme="minorEastAsia" w:eastAsiaTheme="minorEastAsia"/>
          <w:sz w:val="28"/>
          <w:szCs w:val="28"/>
        </w:rPr>
        <w:t>日，上午9：00-12:00，下午13：30-17：30,逾期不再受理。</w:t>
      </w:r>
    </w:p>
    <w:p w14:paraId="3EA9D703">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（二）获取方式：报名企业资质合格后招标人以邮件形式发送《招标文件》。获取文件时需提供的资料（加盖单位公章的复印件一份）</w:t>
      </w:r>
    </w:p>
    <w:p w14:paraId="4A7BA76F">
      <w:pPr>
        <w:spacing w:line="360" w:lineRule="auto"/>
        <w:ind w:firstLine="442"/>
        <w:rPr>
          <w:rFonts w:cs="宋体" w:asciiTheme="minorEastAsia" w:hAnsiTheme="minorEastAsia" w:eastAsiaTheme="minorEastAsia"/>
          <w:sz w:val="28"/>
          <w:szCs w:val="28"/>
        </w:rPr>
      </w:pPr>
      <w:bookmarkStart w:id="5" w:name="OLE_LINK15"/>
      <w:bookmarkStart w:id="6" w:name="OLE_LINK16"/>
      <w:r>
        <w:rPr>
          <w:rFonts w:hint="eastAsia" w:cs="宋体" w:asciiTheme="minorEastAsia" w:hAnsiTheme="minorEastAsia" w:eastAsiaTheme="minorEastAsia"/>
          <w:sz w:val="28"/>
          <w:szCs w:val="28"/>
        </w:rPr>
        <w:t>（1）企业营业执照复印件；</w:t>
      </w:r>
    </w:p>
    <w:p w14:paraId="70AE7326">
      <w:pPr>
        <w:spacing w:line="360" w:lineRule="auto"/>
        <w:ind w:firstLine="442"/>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（2）经法定代表人及被授权人签字并加盖投标人公章的法定代表人授权委托书原件（附法定代表人及被授权人身份证复印件）；</w:t>
      </w:r>
    </w:p>
    <w:p w14:paraId="6BCDE0B5">
      <w:pPr>
        <w:spacing w:line="360" w:lineRule="auto"/>
        <w:ind w:firstLine="442"/>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（3）提供“信用中国”、“国家企业信用信息公示系统”、“中国裁判文书网”查询记录截图；</w:t>
      </w:r>
    </w:p>
    <w:p w14:paraId="73110696">
      <w:pPr>
        <w:spacing w:line="360" w:lineRule="auto"/>
        <w:ind w:firstLine="442"/>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（4）联系人、联系方式、电子邮箱。</w:t>
      </w:r>
      <w:bookmarkEnd w:id="5"/>
      <w:bookmarkEnd w:id="6"/>
    </w:p>
    <w:p w14:paraId="7D1EA65F">
      <w:pPr>
        <w:pStyle w:val="2"/>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八、其他事项</w:t>
      </w:r>
    </w:p>
    <w:p w14:paraId="45CA6C2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（一）具体开标时间、项目需求将在《招标文件》中明确。</w:t>
      </w:r>
    </w:p>
    <w:p w14:paraId="693CF69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（二）本次招标不接受邮寄投标。</w:t>
      </w:r>
    </w:p>
    <w:p w14:paraId="6F5E1F6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（三）投标费用：投标人应承担其编制与递交投标文件所涉及的一切费用，无论投标结果如何，招标人对上述费用概不负责，均由投标人承担。</w:t>
      </w:r>
    </w:p>
    <w:p w14:paraId="1E9C91DC">
      <w:pPr>
        <w:pStyle w:val="2"/>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rPr>
        <w:t>九、联系方式</w:t>
      </w:r>
    </w:p>
    <w:p w14:paraId="0E860A63">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招标人：蒙草生态环境（集团）股份有限公司</w:t>
      </w:r>
    </w:p>
    <w:p w14:paraId="3857E3E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投标报名联系人及电话：银  洁  19975541206          </w:t>
      </w:r>
    </w:p>
    <w:p w14:paraId="4BE4C891">
      <w:pPr>
        <w:pStyle w:val="2"/>
        <w:spacing w:line="360" w:lineRule="auto"/>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文件答疑联系人及电话：马雨浓15047067666</w:t>
      </w:r>
    </w:p>
    <w:p w14:paraId="0587C3B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电  话：0471-6695191-810    </w:t>
      </w:r>
    </w:p>
    <w:p w14:paraId="4907277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传  真：0471-6695192</w:t>
      </w:r>
    </w:p>
    <w:p w14:paraId="3239BE4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邮  箱：</w:t>
      </w:r>
      <w:r>
        <w:fldChar w:fldCharType="begin"/>
      </w:r>
      <w:r>
        <w:instrText xml:space="preserve"> HYPERLINK "mailto:mengcaocaigou@126.com" </w:instrText>
      </w:r>
      <w:r>
        <w:fldChar w:fldCharType="separate"/>
      </w:r>
      <w:r>
        <w:rPr>
          <w:rStyle w:val="7"/>
          <w:rFonts w:hint="eastAsia" w:asciiTheme="minorEastAsia" w:hAnsiTheme="minorEastAsia" w:eastAsiaTheme="minorEastAsia"/>
          <w:color w:val="auto"/>
          <w:sz w:val="28"/>
          <w:szCs w:val="28"/>
        </w:rPr>
        <w:t>mengcaocaigou@126.com</w:t>
      </w:r>
      <w:r>
        <w:rPr>
          <w:rStyle w:val="7"/>
          <w:rFonts w:hint="eastAsia" w:asciiTheme="minorEastAsia" w:hAnsiTheme="minorEastAsia" w:eastAsiaTheme="minorEastAsia"/>
          <w:color w:val="auto"/>
          <w:sz w:val="28"/>
          <w:szCs w:val="28"/>
        </w:rPr>
        <w:fldChar w:fldCharType="end"/>
      </w:r>
    </w:p>
    <w:p w14:paraId="6CAAA95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附件一：报名表</w:t>
      </w:r>
    </w:p>
    <w:p w14:paraId="603A46CD">
      <w:pPr>
        <w:pStyle w:val="2"/>
        <w:spacing w:line="360" w:lineRule="auto"/>
        <w:jc w:val="right"/>
        <w:rPr>
          <w:rFonts w:asciiTheme="minorEastAsia" w:hAnsiTheme="minorEastAsia" w:eastAsiaTheme="minorEastAsia"/>
          <w:sz w:val="28"/>
          <w:szCs w:val="28"/>
        </w:rPr>
      </w:pPr>
    </w:p>
    <w:p w14:paraId="14737B2A">
      <w:pPr>
        <w:pStyle w:val="2"/>
        <w:spacing w:line="360" w:lineRule="auto"/>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招标人：蒙草生态环境（集团）股份有限公司</w:t>
      </w:r>
    </w:p>
    <w:p w14:paraId="0E655946">
      <w:pPr>
        <w:pStyle w:val="2"/>
        <w:spacing w:line="360" w:lineRule="auto"/>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日期：二○二五年</w:t>
      </w:r>
      <w:r>
        <w:rPr>
          <w:rFonts w:hint="eastAsia" w:asciiTheme="minorEastAsia" w:hAnsiTheme="minorEastAsia" w:eastAsiaTheme="minorEastAsia"/>
          <w:sz w:val="28"/>
          <w:szCs w:val="28"/>
          <w:lang w:eastAsia="zh-CN"/>
        </w:rPr>
        <w:t>五</w:t>
      </w:r>
      <w:r>
        <w:rPr>
          <w:rFonts w:hint="eastAsia" w:asciiTheme="minorEastAsia" w:hAnsiTheme="minorEastAsia" w:eastAsiaTheme="minorEastAsia"/>
          <w:sz w:val="28"/>
          <w:szCs w:val="28"/>
        </w:rPr>
        <w:t>月二十</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日</w:t>
      </w:r>
    </w:p>
    <w:p w14:paraId="1D064C1D">
      <w:pPr>
        <w:pStyle w:val="2"/>
        <w:spacing w:line="360" w:lineRule="auto"/>
        <w:rPr>
          <w:rFonts w:asciiTheme="minorEastAsia" w:hAnsiTheme="minorEastAsia" w:eastAsiaTheme="minorEastAsia"/>
          <w:sz w:val="28"/>
          <w:szCs w:val="28"/>
        </w:rPr>
      </w:pPr>
    </w:p>
    <w:p w14:paraId="51CCF936">
      <w:pPr>
        <w:pStyle w:val="2"/>
        <w:spacing w:line="360" w:lineRule="auto"/>
        <w:rPr>
          <w:rFonts w:asciiTheme="minorEastAsia" w:hAnsiTheme="minorEastAsia" w:eastAsiaTheme="minorEastAsia"/>
          <w:sz w:val="28"/>
          <w:szCs w:val="28"/>
        </w:rPr>
      </w:pPr>
    </w:p>
    <w:p w14:paraId="48D0FA7A">
      <w:pPr>
        <w:pStyle w:val="2"/>
        <w:spacing w:line="360" w:lineRule="auto"/>
        <w:rPr>
          <w:rFonts w:asciiTheme="minorEastAsia" w:hAnsiTheme="minorEastAsia" w:eastAsiaTheme="minorEastAsia"/>
          <w:sz w:val="28"/>
          <w:szCs w:val="28"/>
        </w:rPr>
      </w:pPr>
    </w:p>
    <w:p w14:paraId="5FF3D1CB">
      <w:pPr>
        <w:pStyle w:val="2"/>
        <w:spacing w:line="360" w:lineRule="auto"/>
        <w:rPr>
          <w:rFonts w:asciiTheme="minorEastAsia" w:hAnsiTheme="minorEastAsia" w:eastAsiaTheme="minorEastAsia"/>
          <w:sz w:val="28"/>
          <w:szCs w:val="28"/>
        </w:rPr>
      </w:pPr>
    </w:p>
    <w:p w14:paraId="61954802">
      <w:pPr>
        <w:pStyle w:val="2"/>
        <w:spacing w:line="360" w:lineRule="auto"/>
        <w:rPr>
          <w:rFonts w:asciiTheme="minorEastAsia" w:hAnsiTheme="minorEastAsia" w:eastAsiaTheme="minorEastAsia"/>
          <w:sz w:val="28"/>
          <w:szCs w:val="28"/>
        </w:rPr>
      </w:pPr>
    </w:p>
    <w:p w14:paraId="3699C34F">
      <w:pPr>
        <w:pStyle w:val="2"/>
        <w:spacing w:line="360" w:lineRule="auto"/>
        <w:rPr>
          <w:rFonts w:asciiTheme="minorEastAsia" w:hAnsiTheme="minorEastAsia" w:eastAsiaTheme="minorEastAsia"/>
          <w:sz w:val="28"/>
          <w:szCs w:val="28"/>
        </w:rPr>
      </w:pPr>
    </w:p>
    <w:p w14:paraId="1E148968">
      <w:pPr>
        <w:pStyle w:val="2"/>
        <w:spacing w:line="360" w:lineRule="auto"/>
        <w:rPr>
          <w:rFonts w:asciiTheme="minorEastAsia" w:hAnsiTheme="minorEastAsia" w:eastAsiaTheme="minorEastAsia"/>
          <w:sz w:val="28"/>
          <w:szCs w:val="28"/>
        </w:rPr>
      </w:pPr>
    </w:p>
    <w:p w14:paraId="79B1E93F">
      <w:pPr>
        <w:pStyle w:val="2"/>
        <w:spacing w:line="360" w:lineRule="auto"/>
        <w:rPr>
          <w:rFonts w:asciiTheme="minorEastAsia" w:hAnsiTheme="minorEastAsia" w:eastAsiaTheme="minorEastAsia"/>
          <w:sz w:val="28"/>
          <w:szCs w:val="28"/>
        </w:rPr>
      </w:pPr>
    </w:p>
    <w:p w14:paraId="39E435A1">
      <w:pPr>
        <w:pStyle w:val="2"/>
        <w:spacing w:line="360" w:lineRule="auto"/>
        <w:rPr>
          <w:rFonts w:asciiTheme="minorEastAsia" w:hAnsiTheme="minorEastAsia" w:eastAsiaTheme="minorEastAsia"/>
          <w:sz w:val="28"/>
          <w:szCs w:val="28"/>
        </w:rPr>
      </w:pPr>
    </w:p>
    <w:p w14:paraId="1323FE4A">
      <w:pPr>
        <w:pStyle w:val="2"/>
        <w:spacing w:line="360" w:lineRule="auto"/>
        <w:rPr>
          <w:rFonts w:asciiTheme="minorEastAsia" w:hAnsiTheme="minorEastAsia" w:eastAsiaTheme="minorEastAsia"/>
          <w:sz w:val="28"/>
          <w:szCs w:val="28"/>
        </w:rPr>
      </w:pPr>
    </w:p>
    <w:p w14:paraId="2425FEA3">
      <w:pPr>
        <w:pStyle w:val="2"/>
        <w:spacing w:line="360" w:lineRule="auto"/>
        <w:rPr>
          <w:rFonts w:asciiTheme="minorEastAsia" w:hAnsiTheme="minorEastAsia" w:eastAsiaTheme="minorEastAsia"/>
          <w:sz w:val="28"/>
          <w:szCs w:val="28"/>
        </w:rPr>
      </w:pPr>
    </w:p>
    <w:p w14:paraId="000D14B2">
      <w:pPr>
        <w:pStyle w:val="2"/>
        <w:spacing w:line="360" w:lineRule="auto"/>
        <w:rPr>
          <w:rFonts w:asciiTheme="minorEastAsia" w:hAnsiTheme="minorEastAsia" w:eastAsiaTheme="minorEastAsia"/>
          <w:sz w:val="28"/>
          <w:szCs w:val="28"/>
        </w:rPr>
      </w:pPr>
    </w:p>
    <w:p w14:paraId="36B9DFE3">
      <w:pPr>
        <w:pStyle w:val="2"/>
        <w:spacing w:line="360" w:lineRule="auto"/>
        <w:rPr>
          <w:rFonts w:asciiTheme="minorEastAsia" w:hAnsiTheme="minorEastAsia" w:eastAsiaTheme="minorEastAsia"/>
          <w:sz w:val="28"/>
          <w:szCs w:val="28"/>
        </w:rPr>
      </w:pPr>
    </w:p>
    <w:p w14:paraId="043B16A7">
      <w:pPr>
        <w:pStyle w:val="2"/>
        <w:spacing w:line="360" w:lineRule="auto"/>
        <w:rPr>
          <w:rFonts w:asciiTheme="minorEastAsia" w:hAnsiTheme="minorEastAsia" w:eastAsiaTheme="minorEastAsia"/>
          <w:sz w:val="28"/>
          <w:szCs w:val="28"/>
        </w:rPr>
      </w:pPr>
    </w:p>
    <w:p w14:paraId="078A46B1">
      <w:pPr>
        <w:pStyle w:val="2"/>
        <w:spacing w:line="360" w:lineRule="auto"/>
        <w:rPr>
          <w:rFonts w:asciiTheme="minorEastAsia" w:hAnsiTheme="minorEastAsia" w:eastAsiaTheme="minorEastAsia"/>
          <w:sz w:val="28"/>
          <w:szCs w:val="28"/>
        </w:rPr>
      </w:pPr>
    </w:p>
    <w:p w14:paraId="5DBB93C2">
      <w:pPr>
        <w:pStyle w:val="2"/>
        <w:spacing w:line="360" w:lineRule="auto"/>
        <w:rPr>
          <w:rFonts w:asciiTheme="minorEastAsia" w:hAnsiTheme="minorEastAsia" w:eastAsiaTheme="minorEastAsia"/>
          <w:sz w:val="28"/>
          <w:szCs w:val="28"/>
        </w:rPr>
      </w:pPr>
    </w:p>
    <w:p w14:paraId="53348B00">
      <w:pPr>
        <w:pStyle w:val="2"/>
        <w:spacing w:line="360" w:lineRule="auto"/>
        <w:rPr>
          <w:rFonts w:asciiTheme="minorEastAsia" w:hAnsiTheme="minorEastAsia" w:eastAsiaTheme="minorEastAsia"/>
          <w:sz w:val="28"/>
          <w:szCs w:val="28"/>
        </w:rPr>
      </w:pPr>
    </w:p>
    <w:p w14:paraId="2FE677CB">
      <w:pPr>
        <w:pStyle w:val="2"/>
        <w:spacing w:line="360" w:lineRule="auto"/>
        <w:rPr>
          <w:rFonts w:asciiTheme="minorEastAsia" w:hAnsiTheme="minorEastAsia" w:eastAsiaTheme="minorEastAsia"/>
          <w:sz w:val="28"/>
          <w:szCs w:val="28"/>
        </w:rPr>
      </w:pPr>
    </w:p>
    <w:p w14:paraId="29D8D3BC">
      <w:pPr>
        <w:pStyle w:val="2"/>
        <w:spacing w:line="360" w:lineRule="auto"/>
        <w:rPr>
          <w:rFonts w:asciiTheme="minorEastAsia" w:hAnsiTheme="minorEastAsia" w:eastAsiaTheme="minorEastAsia"/>
          <w:sz w:val="28"/>
          <w:szCs w:val="28"/>
        </w:rPr>
      </w:pPr>
    </w:p>
    <w:p w14:paraId="554580D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附件一：</w:t>
      </w:r>
    </w:p>
    <w:p w14:paraId="368E99CB">
      <w:pPr>
        <w:pStyle w:val="2"/>
        <w:spacing w:line="360" w:lineRule="auto"/>
        <w:jc w:val="center"/>
        <w:rPr>
          <w:rFonts w:asciiTheme="minorEastAsia" w:hAnsiTheme="minorEastAsia" w:eastAsiaTheme="minorEastAsia"/>
          <w:b/>
          <w:sz w:val="36"/>
          <w:szCs w:val="28"/>
        </w:rPr>
      </w:pPr>
      <w:r>
        <w:rPr>
          <w:rFonts w:hint="eastAsia" w:asciiTheme="minorEastAsia" w:hAnsiTheme="minorEastAsia" w:eastAsiaTheme="minorEastAsia"/>
          <w:b/>
          <w:sz w:val="36"/>
          <w:szCs w:val="28"/>
        </w:rPr>
        <w:t>报名表</w:t>
      </w:r>
    </w:p>
    <w:tbl>
      <w:tblPr>
        <w:tblStyle w:val="5"/>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14:paraId="1A89F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14:paraId="1B521CAA">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企业名称</w:t>
            </w:r>
          </w:p>
        </w:tc>
        <w:tc>
          <w:tcPr>
            <w:tcW w:w="7282" w:type="dxa"/>
            <w:gridSpan w:val="3"/>
            <w:vAlign w:val="center"/>
          </w:tcPr>
          <w:p w14:paraId="02631DDA">
            <w:pPr>
              <w:pStyle w:val="2"/>
              <w:spacing w:line="360" w:lineRule="auto"/>
              <w:rPr>
                <w:rFonts w:asciiTheme="minorEastAsia" w:hAnsiTheme="minorEastAsia" w:eastAsiaTheme="minorEastAsia"/>
                <w:sz w:val="28"/>
                <w:szCs w:val="28"/>
              </w:rPr>
            </w:pPr>
          </w:p>
        </w:tc>
      </w:tr>
      <w:tr w14:paraId="297F6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2D51C8DD">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注册地址</w:t>
            </w:r>
          </w:p>
        </w:tc>
        <w:tc>
          <w:tcPr>
            <w:tcW w:w="7282" w:type="dxa"/>
            <w:gridSpan w:val="3"/>
            <w:vAlign w:val="center"/>
          </w:tcPr>
          <w:p w14:paraId="78390F7D">
            <w:pPr>
              <w:pStyle w:val="2"/>
              <w:spacing w:line="360" w:lineRule="auto"/>
              <w:rPr>
                <w:rFonts w:asciiTheme="minorEastAsia" w:hAnsiTheme="minorEastAsia" w:eastAsiaTheme="minorEastAsia"/>
                <w:sz w:val="28"/>
                <w:szCs w:val="28"/>
              </w:rPr>
            </w:pPr>
          </w:p>
        </w:tc>
      </w:tr>
      <w:tr w14:paraId="32499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14:paraId="5C29A304">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投标项目名称</w:t>
            </w:r>
          </w:p>
        </w:tc>
        <w:tc>
          <w:tcPr>
            <w:tcW w:w="7282" w:type="dxa"/>
            <w:gridSpan w:val="3"/>
            <w:vAlign w:val="center"/>
          </w:tcPr>
          <w:p w14:paraId="26A0CBC7">
            <w:pPr>
              <w:pStyle w:val="2"/>
              <w:spacing w:line="360" w:lineRule="auto"/>
              <w:rPr>
                <w:rFonts w:asciiTheme="minorEastAsia" w:hAnsiTheme="minorEastAsia" w:eastAsiaTheme="minorEastAsia"/>
                <w:sz w:val="28"/>
                <w:szCs w:val="28"/>
              </w:rPr>
            </w:pPr>
          </w:p>
        </w:tc>
      </w:tr>
      <w:tr w14:paraId="1F7D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14:paraId="0F1F84A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法人代表</w:t>
            </w:r>
          </w:p>
        </w:tc>
        <w:tc>
          <w:tcPr>
            <w:tcW w:w="2426" w:type="dxa"/>
            <w:vAlign w:val="center"/>
          </w:tcPr>
          <w:p w14:paraId="7BFE10D3">
            <w:pPr>
              <w:pStyle w:val="2"/>
              <w:spacing w:line="360" w:lineRule="auto"/>
              <w:rPr>
                <w:rFonts w:asciiTheme="minorEastAsia" w:hAnsiTheme="minorEastAsia" w:eastAsiaTheme="minorEastAsia"/>
                <w:sz w:val="28"/>
                <w:szCs w:val="28"/>
              </w:rPr>
            </w:pPr>
          </w:p>
        </w:tc>
        <w:tc>
          <w:tcPr>
            <w:tcW w:w="2428" w:type="dxa"/>
            <w:vAlign w:val="center"/>
          </w:tcPr>
          <w:p w14:paraId="2409E35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421117ED">
            <w:pPr>
              <w:pStyle w:val="2"/>
              <w:spacing w:line="360" w:lineRule="auto"/>
              <w:rPr>
                <w:rFonts w:asciiTheme="minorEastAsia" w:hAnsiTheme="minorEastAsia" w:eastAsiaTheme="minorEastAsia"/>
                <w:sz w:val="28"/>
                <w:szCs w:val="28"/>
              </w:rPr>
            </w:pPr>
          </w:p>
        </w:tc>
      </w:tr>
      <w:tr w14:paraId="5ABC6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14:paraId="22F5EF77">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电话</w:t>
            </w:r>
          </w:p>
        </w:tc>
        <w:tc>
          <w:tcPr>
            <w:tcW w:w="2426" w:type="dxa"/>
            <w:vAlign w:val="center"/>
          </w:tcPr>
          <w:p w14:paraId="29A9806E">
            <w:pPr>
              <w:pStyle w:val="2"/>
              <w:spacing w:line="360" w:lineRule="auto"/>
              <w:rPr>
                <w:rFonts w:asciiTheme="minorEastAsia" w:hAnsiTheme="minorEastAsia" w:eastAsiaTheme="minorEastAsia"/>
                <w:sz w:val="28"/>
                <w:szCs w:val="28"/>
              </w:rPr>
            </w:pPr>
          </w:p>
        </w:tc>
        <w:tc>
          <w:tcPr>
            <w:tcW w:w="2428" w:type="dxa"/>
            <w:vAlign w:val="center"/>
          </w:tcPr>
          <w:p w14:paraId="6585CB6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8" w:type="dxa"/>
            <w:vAlign w:val="center"/>
          </w:tcPr>
          <w:p w14:paraId="49020A52">
            <w:pPr>
              <w:pStyle w:val="2"/>
              <w:spacing w:line="360" w:lineRule="auto"/>
              <w:rPr>
                <w:rFonts w:asciiTheme="minorEastAsia" w:hAnsiTheme="minorEastAsia" w:eastAsiaTheme="minorEastAsia"/>
                <w:sz w:val="28"/>
                <w:szCs w:val="28"/>
              </w:rPr>
            </w:pPr>
          </w:p>
        </w:tc>
      </w:tr>
      <w:tr w14:paraId="6A72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14:paraId="70897E95">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7282" w:type="dxa"/>
            <w:gridSpan w:val="3"/>
            <w:vAlign w:val="center"/>
          </w:tcPr>
          <w:p w14:paraId="5E0F2544">
            <w:pPr>
              <w:pStyle w:val="2"/>
              <w:spacing w:line="360" w:lineRule="auto"/>
              <w:rPr>
                <w:rFonts w:asciiTheme="minorEastAsia" w:hAnsiTheme="minorEastAsia" w:eastAsiaTheme="minorEastAsia"/>
                <w:sz w:val="28"/>
                <w:szCs w:val="28"/>
              </w:rPr>
            </w:pPr>
          </w:p>
        </w:tc>
      </w:tr>
      <w:tr w14:paraId="4FE05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14:paraId="5751BB5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经营范围</w:t>
            </w:r>
          </w:p>
        </w:tc>
        <w:tc>
          <w:tcPr>
            <w:tcW w:w="7282" w:type="dxa"/>
            <w:gridSpan w:val="3"/>
            <w:vAlign w:val="center"/>
          </w:tcPr>
          <w:p w14:paraId="03D8448B">
            <w:pPr>
              <w:pStyle w:val="2"/>
              <w:spacing w:line="360" w:lineRule="auto"/>
              <w:rPr>
                <w:rFonts w:asciiTheme="minorEastAsia" w:hAnsiTheme="minorEastAsia" w:eastAsiaTheme="minorEastAsia"/>
                <w:sz w:val="28"/>
                <w:szCs w:val="28"/>
              </w:rPr>
            </w:pPr>
          </w:p>
        </w:tc>
      </w:tr>
      <w:tr w14:paraId="54980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4EEEC50C">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联系人</w:t>
            </w:r>
          </w:p>
        </w:tc>
        <w:tc>
          <w:tcPr>
            <w:tcW w:w="2426" w:type="dxa"/>
            <w:vAlign w:val="center"/>
          </w:tcPr>
          <w:p w14:paraId="6374F8C8">
            <w:pPr>
              <w:pStyle w:val="2"/>
              <w:spacing w:line="360" w:lineRule="auto"/>
              <w:rPr>
                <w:rFonts w:asciiTheme="minorEastAsia" w:hAnsiTheme="minorEastAsia" w:eastAsiaTheme="minorEastAsia"/>
                <w:sz w:val="28"/>
                <w:szCs w:val="28"/>
              </w:rPr>
            </w:pPr>
          </w:p>
        </w:tc>
        <w:tc>
          <w:tcPr>
            <w:tcW w:w="2428" w:type="dxa"/>
            <w:vAlign w:val="center"/>
          </w:tcPr>
          <w:p w14:paraId="73EBB8C0">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职务</w:t>
            </w:r>
          </w:p>
        </w:tc>
        <w:tc>
          <w:tcPr>
            <w:tcW w:w="2428" w:type="dxa"/>
            <w:vAlign w:val="center"/>
          </w:tcPr>
          <w:p w14:paraId="247B4B3C">
            <w:pPr>
              <w:pStyle w:val="2"/>
              <w:spacing w:line="360" w:lineRule="auto"/>
              <w:rPr>
                <w:rFonts w:asciiTheme="minorEastAsia" w:hAnsiTheme="minorEastAsia" w:eastAsiaTheme="minorEastAsia"/>
                <w:sz w:val="28"/>
                <w:szCs w:val="28"/>
              </w:rPr>
            </w:pPr>
          </w:p>
        </w:tc>
      </w:tr>
      <w:tr w14:paraId="211E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57BB714B">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固定电话</w:t>
            </w:r>
          </w:p>
        </w:tc>
        <w:tc>
          <w:tcPr>
            <w:tcW w:w="2426" w:type="dxa"/>
            <w:vAlign w:val="center"/>
          </w:tcPr>
          <w:p w14:paraId="5E7BD677">
            <w:pPr>
              <w:pStyle w:val="2"/>
              <w:spacing w:line="360" w:lineRule="auto"/>
              <w:rPr>
                <w:rFonts w:asciiTheme="minorEastAsia" w:hAnsiTheme="minorEastAsia" w:eastAsiaTheme="minorEastAsia"/>
                <w:sz w:val="28"/>
                <w:szCs w:val="28"/>
              </w:rPr>
            </w:pPr>
          </w:p>
        </w:tc>
        <w:tc>
          <w:tcPr>
            <w:tcW w:w="2428" w:type="dxa"/>
            <w:vAlign w:val="center"/>
          </w:tcPr>
          <w:p w14:paraId="6C8F6102">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手机</w:t>
            </w:r>
          </w:p>
        </w:tc>
        <w:tc>
          <w:tcPr>
            <w:tcW w:w="2428" w:type="dxa"/>
            <w:vAlign w:val="center"/>
          </w:tcPr>
          <w:p w14:paraId="761416E6">
            <w:pPr>
              <w:pStyle w:val="2"/>
              <w:spacing w:line="360" w:lineRule="auto"/>
              <w:rPr>
                <w:rFonts w:asciiTheme="minorEastAsia" w:hAnsiTheme="minorEastAsia" w:eastAsiaTheme="minorEastAsia"/>
                <w:sz w:val="28"/>
                <w:szCs w:val="28"/>
              </w:rPr>
            </w:pPr>
          </w:p>
        </w:tc>
      </w:tr>
      <w:tr w14:paraId="2868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48642408">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传真</w:t>
            </w:r>
          </w:p>
        </w:tc>
        <w:tc>
          <w:tcPr>
            <w:tcW w:w="2426" w:type="dxa"/>
            <w:vAlign w:val="center"/>
          </w:tcPr>
          <w:p w14:paraId="4C537483">
            <w:pPr>
              <w:pStyle w:val="2"/>
              <w:spacing w:line="360" w:lineRule="auto"/>
              <w:rPr>
                <w:rFonts w:asciiTheme="minorEastAsia" w:hAnsiTheme="minorEastAsia" w:eastAsiaTheme="minorEastAsia"/>
                <w:sz w:val="28"/>
                <w:szCs w:val="28"/>
              </w:rPr>
            </w:pPr>
          </w:p>
        </w:tc>
        <w:tc>
          <w:tcPr>
            <w:tcW w:w="2428" w:type="dxa"/>
            <w:vAlign w:val="center"/>
          </w:tcPr>
          <w:p w14:paraId="298CEE91">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电子邮箱</w:t>
            </w:r>
          </w:p>
        </w:tc>
        <w:tc>
          <w:tcPr>
            <w:tcW w:w="2428" w:type="dxa"/>
            <w:vAlign w:val="center"/>
          </w:tcPr>
          <w:p w14:paraId="6AD8BB86">
            <w:pPr>
              <w:pStyle w:val="2"/>
              <w:spacing w:line="360" w:lineRule="auto"/>
              <w:rPr>
                <w:rFonts w:asciiTheme="minorEastAsia" w:hAnsiTheme="minorEastAsia" w:eastAsiaTheme="minorEastAsia"/>
                <w:sz w:val="28"/>
                <w:szCs w:val="28"/>
              </w:rPr>
            </w:pPr>
          </w:p>
        </w:tc>
      </w:tr>
      <w:tr w14:paraId="142B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14:paraId="79CD5A19">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地址</w:t>
            </w:r>
          </w:p>
        </w:tc>
        <w:tc>
          <w:tcPr>
            <w:tcW w:w="2426" w:type="dxa"/>
            <w:vAlign w:val="center"/>
          </w:tcPr>
          <w:p w14:paraId="124683DA">
            <w:pPr>
              <w:pStyle w:val="2"/>
              <w:spacing w:line="360" w:lineRule="auto"/>
              <w:rPr>
                <w:rFonts w:asciiTheme="minorEastAsia" w:hAnsiTheme="minorEastAsia" w:eastAsiaTheme="minorEastAsia"/>
                <w:sz w:val="28"/>
                <w:szCs w:val="28"/>
              </w:rPr>
            </w:pPr>
          </w:p>
        </w:tc>
        <w:tc>
          <w:tcPr>
            <w:tcW w:w="2428" w:type="dxa"/>
            <w:vAlign w:val="center"/>
          </w:tcPr>
          <w:p w14:paraId="7F408A5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邮政编码</w:t>
            </w:r>
          </w:p>
        </w:tc>
        <w:tc>
          <w:tcPr>
            <w:tcW w:w="2428" w:type="dxa"/>
            <w:vAlign w:val="center"/>
          </w:tcPr>
          <w:p w14:paraId="1E881DC0">
            <w:pPr>
              <w:pStyle w:val="2"/>
              <w:spacing w:line="360" w:lineRule="auto"/>
              <w:rPr>
                <w:rFonts w:asciiTheme="minorEastAsia" w:hAnsiTheme="minorEastAsia" w:eastAsiaTheme="minorEastAsia"/>
                <w:sz w:val="28"/>
                <w:szCs w:val="28"/>
              </w:rPr>
            </w:pPr>
          </w:p>
        </w:tc>
      </w:tr>
      <w:tr w14:paraId="27A5F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2427" w:type="dxa"/>
            <w:vAlign w:val="center"/>
          </w:tcPr>
          <w:p w14:paraId="23AD280F">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有关说明</w:t>
            </w:r>
          </w:p>
        </w:tc>
        <w:tc>
          <w:tcPr>
            <w:tcW w:w="7282" w:type="dxa"/>
            <w:gridSpan w:val="3"/>
            <w:vAlign w:val="center"/>
          </w:tcPr>
          <w:p w14:paraId="01C4BBCA">
            <w:pPr>
              <w:pStyle w:val="2"/>
              <w:spacing w:line="360" w:lineRule="auto"/>
              <w:rPr>
                <w:rFonts w:asciiTheme="minorEastAsia" w:hAnsiTheme="minorEastAsia" w:eastAsiaTheme="minorEastAsia"/>
                <w:sz w:val="28"/>
                <w:szCs w:val="28"/>
              </w:rPr>
            </w:pPr>
          </w:p>
        </w:tc>
      </w:tr>
      <w:tr w14:paraId="03CA7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2427" w:type="dxa"/>
            <w:vAlign w:val="center"/>
          </w:tcPr>
          <w:p w14:paraId="3F10D6BE">
            <w:pPr>
              <w:pStyle w:val="2"/>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附件</w:t>
            </w:r>
          </w:p>
        </w:tc>
        <w:tc>
          <w:tcPr>
            <w:tcW w:w="7282" w:type="dxa"/>
            <w:gridSpan w:val="3"/>
            <w:vAlign w:val="center"/>
          </w:tcPr>
          <w:p w14:paraId="14249010">
            <w:pPr>
              <w:pStyle w:val="2"/>
              <w:spacing w:line="360" w:lineRule="auto"/>
              <w:rPr>
                <w:rFonts w:asciiTheme="minorEastAsia" w:hAnsiTheme="minorEastAsia" w:eastAsiaTheme="minorEastAsia"/>
                <w:sz w:val="28"/>
                <w:szCs w:val="28"/>
              </w:rPr>
            </w:pPr>
          </w:p>
        </w:tc>
      </w:tr>
    </w:tbl>
    <w:p w14:paraId="6BDBF99C">
      <w:pPr>
        <w:pStyle w:val="2"/>
        <w:spacing w:line="360" w:lineRule="auto"/>
        <w:rPr>
          <w:rFonts w:asciiTheme="minorEastAsia" w:hAnsiTheme="minorEastAsia" w:eastAsiaTheme="minorEastAsia"/>
          <w:sz w:val="28"/>
          <w:szCs w:val="28"/>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701A3"/>
    <w:rsid w:val="000B4DF3"/>
    <w:rsid w:val="001B1543"/>
    <w:rsid w:val="0027158E"/>
    <w:rsid w:val="002B6C3F"/>
    <w:rsid w:val="002E0D89"/>
    <w:rsid w:val="00323B43"/>
    <w:rsid w:val="003B73CD"/>
    <w:rsid w:val="003D37D8"/>
    <w:rsid w:val="00426133"/>
    <w:rsid w:val="004358AB"/>
    <w:rsid w:val="0048779B"/>
    <w:rsid w:val="004C4980"/>
    <w:rsid w:val="004F6249"/>
    <w:rsid w:val="00524781"/>
    <w:rsid w:val="00590077"/>
    <w:rsid w:val="0061298E"/>
    <w:rsid w:val="00831ED0"/>
    <w:rsid w:val="0085458B"/>
    <w:rsid w:val="008B1E2A"/>
    <w:rsid w:val="008B7726"/>
    <w:rsid w:val="009408E9"/>
    <w:rsid w:val="009A2C73"/>
    <w:rsid w:val="00A774B9"/>
    <w:rsid w:val="00AC7F17"/>
    <w:rsid w:val="00BB7585"/>
    <w:rsid w:val="00C555FF"/>
    <w:rsid w:val="00C70216"/>
    <w:rsid w:val="00C9012A"/>
    <w:rsid w:val="00D31D50"/>
    <w:rsid w:val="00E9405B"/>
    <w:rsid w:val="00EC3AFB"/>
    <w:rsid w:val="00F077F7"/>
    <w:rsid w:val="00F71AB1"/>
    <w:rsid w:val="00F94FAE"/>
    <w:rsid w:val="124D222A"/>
    <w:rsid w:val="23007343"/>
    <w:rsid w:val="262B1B6D"/>
    <w:rsid w:val="2E46451C"/>
    <w:rsid w:val="2E8A7DFA"/>
    <w:rsid w:val="36620BD7"/>
    <w:rsid w:val="4FB764A1"/>
    <w:rsid w:val="54427A29"/>
    <w:rsid w:val="65367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pPr>
      <w:widowControl w:val="0"/>
      <w:adjustRightInd/>
      <w:snapToGrid/>
      <w:spacing w:after="0"/>
      <w:jc w:val="both"/>
    </w:pPr>
    <w:rPr>
      <w:rFonts w:ascii="宋体" w:hAnsi="Courier New" w:eastAsia="宋体" w:cs="宋体"/>
      <w:sz w:val="20"/>
      <w:szCs w:val="20"/>
    </w:rPr>
  </w:style>
  <w:style w:type="paragraph" w:styleId="3">
    <w:name w:val="footer"/>
    <w:basedOn w:val="1"/>
    <w:link w:val="9"/>
    <w:semiHidden/>
    <w:unhideWhenUsed/>
    <w:uiPriority w:val="99"/>
    <w:pPr>
      <w:tabs>
        <w:tab w:val="center" w:pos="4153"/>
        <w:tab w:val="right" w:pos="8306"/>
      </w:tabs>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jc w:val="center"/>
    </w:pPr>
    <w:rPr>
      <w:sz w:val="18"/>
      <w:szCs w:val="18"/>
    </w:rPr>
  </w:style>
  <w:style w:type="character" w:styleId="7">
    <w:name w:val="Hyperlink"/>
    <w:basedOn w:val="6"/>
    <w:semiHidden/>
    <w:qFormat/>
    <w:uiPriority w:val="99"/>
    <w:rPr>
      <w:color w:val="0000FF"/>
      <w:u w:val="single"/>
    </w:rPr>
  </w:style>
  <w:style w:type="character" w:customStyle="1" w:styleId="8">
    <w:name w:val="页眉 Char"/>
    <w:basedOn w:val="6"/>
    <w:link w:val="4"/>
    <w:semiHidden/>
    <w:uiPriority w:val="99"/>
    <w:rPr>
      <w:rFonts w:ascii="Tahoma" w:hAnsi="Tahoma"/>
      <w:sz w:val="18"/>
      <w:szCs w:val="18"/>
    </w:rPr>
  </w:style>
  <w:style w:type="character" w:customStyle="1" w:styleId="9">
    <w:name w:val="页脚 Char"/>
    <w:basedOn w:val="6"/>
    <w:link w:val="3"/>
    <w:semiHidden/>
    <w:uiPriority w:val="99"/>
    <w:rPr>
      <w:rFonts w:ascii="Tahoma" w:hAnsi="Tahoma"/>
      <w:sz w:val="18"/>
      <w:szCs w:val="18"/>
    </w:rPr>
  </w:style>
  <w:style w:type="character" w:customStyle="1" w:styleId="10">
    <w:name w:val="纯文本 Char"/>
    <w:basedOn w:val="6"/>
    <w:link w:val="2"/>
    <w:qFormat/>
    <w:uiPriority w:val="0"/>
    <w:rPr>
      <w:rFonts w:ascii="宋体" w:hAnsi="Courier New" w:eastAsia="宋体" w:cs="宋体"/>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1763</Words>
  <Characters>2018</Characters>
  <Lines>14</Lines>
  <Paragraphs>4</Paragraphs>
  <TotalTime>2</TotalTime>
  <ScaleCrop>false</ScaleCrop>
  <LinksUpToDate>false</LinksUpToDate>
  <CharactersWithSpaces>2114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2025-05-22T01:08:10Z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eyJoZGlkIjoiYWMzMjc1MjhmMzNjNDgyM2Y3OGE0ODgyMjJkYmRjNjIifQ==</vt:lpwstr>
  </property>
  <property fmtid="{D5CDD505-2E9C-101B-9397-08002B2CF9AE}" pid="3" name="KSOProductBuildVer">
    <vt:lpwstr>2052-12.1.0.20784</vt:lpwstr>
  </property>
  <property fmtid="{D5CDD505-2E9C-101B-9397-08002B2CF9AE}" pid="4" name="ICV">
    <vt:lpwstr>C9A73B8C86474ECABF927C1162AB503C_13</vt:lpwstr>
  </property>
</Properties>
</file>